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9B0F" w14:textId="46392689" w:rsidR="00E56F50" w:rsidRPr="00F81CC1" w:rsidRDefault="00E56F50" w:rsidP="00F81CC1">
      <w:pPr>
        <w:pStyle w:val="Heading2"/>
      </w:pPr>
      <w:r w:rsidRPr="00F81CC1">
        <w:t>Electronic Additional Pay Form</w:t>
      </w:r>
      <w:r w:rsidR="00A11D05" w:rsidRPr="00F81CC1">
        <w:t xml:space="preserve"> </w:t>
      </w:r>
      <w:r w:rsidR="00F81CC1" w:rsidRPr="00F81CC1">
        <w:t>Information</w:t>
      </w:r>
    </w:p>
    <w:p w14:paraId="7C5FEAB8" w14:textId="58F000A3" w:rsidR="0083236C" w:rsidRPr="00B35A49" w:rsidRDefault="0083236C">
      <w:pPr>
        <w:rPr>
          <w:b/>
          <w:bCs/>
          <w:sz w:val="32"/>
          <w:szCs w:val="32"/>
        </w:rPr>
      </w:pPr>
      <w:r w:rsidRPr="00B35A49">
        <w:rPr>
          <w:b/>
          <w:bCs/>
          <w:sz w:val="32"/>
          <w:szCs w:val="32"/>
          <w:u w:val="single"/>
        </w:rPr>
        <w:t xml:space="preserve">Appendix </w:t>
      </w:r>
      <w:bookmarkStart w:id="0" w:name="AppendixA"/>
      <w:bookmarkEnd w:id="0"/>
      <w:r w:rsidRPr="00B35A49">
        <w:rPr>
          <w:b/>
          <w:bCs/>
          <w:sz w:val="32"/>
          <w:szCs w:val="32"/>
          <w:u w:val="single"/>
        </w:rPr>
        <w:t>A – Wage Types</w:t>
      </w:r>
    </w:p>
    <w:p w14:paraId="727FBB9A" w14:textId="77777777" w:rsidR="00A008BA" w:rsidRDefault="00A008BA">
      <w:pPr>
        <w:rPr>
          <w:sz w:val="24"/>
          <w:szCs w:val="24"/>
        </w:rPr>
      </w:pPr>
      <w:r>
        <w:rPr>
          <w:sz w:val="24"/>
          <w:szCs w:val="24"/>
        </w:rPr>
        <w:t>1220 – Moving Expense – Used for reimbursing a support staff employee, up to the agreed upon amount from the hiring offer letter or agreement.</w:t>
      </w:r>
    </w:p>
    <w:p w14:paraId="3373556C" w14:textId="5C9F9E10" w:rsidR="00E97190" w:rsidRDefault="00E97190">
      <w:pPr>
        <w:rPr>
          <w:sz w:val="24"/>
          <w:szCs w:val="24"/>
        </w:rPr>
      </w:pPr>
      <w:r>
        <w:rPr>
          <w:sz w:val="24"/>
          <w:szCs w:val="24"/>
        </w:rPr>
        <w:t xml:space="preserve">1244 – UNIT Award – Used for payment of a unit level/unit specific award for Support Staff. </w:t>
      </w:r>
    </w:p>
    <w:p w14:paraId="402AE6C2" w14:textId="6F159B24" w:rsidR="00E97190" w:rsidRDefault="00E97190">
      <w:pPr>
        <w:rPr>
          <w:sz w:val="24"/>
          <w:szCs w:val="24"/>
        </w:rPr>
      </w:pPr>
      <w:r>
        <w:rPr>
          <w:sz w:val="24"/>
          <w:szCs w:val="24"/>
        </w:rPr>
        <w:t xml:space="preserve">1245 – UNIVERSITY Award – Used for payment of a university level award for Support Staff, Students, </w:t>
      </w:r>
      <w:r w:rsidR="00A008BA">
        <w:rPr>
          <w:sz w:val="24"/>
          <w:szCs w:val="24"/>
        </w:rPr>
        <w:t>or</w:t>
      </w:r>
      <w:r>
        <w:rPr>
          <w:sz w:val="24"/>
          <w:szCs w:val="24"/>
        </w:rPr>
        <w:t xml:space="preserve"> Grads. </w:t>
      </w:r>
    </w:p>
    <w:p w14:paraId="54D9ED92" w14:textId="77777777" w:rsidR="00A008BA" w:rsidRDefault="00A008BA" w:rsidP="00A008BA">
      <w:pPr>
        <w:rPr>
          <w:sz w:val="24"/>
          <w:szCs w:val="24"/>
        </w:rPr>
      </w:pPr>
      <w:r>
        <w:rPr>
          <w:sz w:val="24"/>
          <w:szCs w:val="24"/>
        </w:rPr>
        <w:t xml:space="preserve">1261 – </w:t>
      </w:r>
      <w:proofErr w:type="spellStart"/>
      <w:r>
        <w:rPr>
          <w:sz w:val="24"/>
          <w:szCs w:val="24"/>
        </w:rPr>
        <w:t>Misc</w:t>
      </w:r>
      <w:proofErr w:type="spellEnd"/>
      <w:r>
        <w:rPr>
          <w:sz w:val="24"/>
          <w:szCs w:val="24"/>
        </w:rPr>
        <w:t>-Work Performed for Special Events (Athletics, Commencement, and Admissions only) – U</w:t>
      </w:r>
      <w:r w:rsidRPr="00C2311F">
        <w:rPr>
          <w:sz w:val="24"/>
          <w:szCs w:val="24"/>
        </w:rPr>
        <w:t>sed for work performed by an employee in addition to their regular assignment</w:t>
      </w:r>
      <w:r>
        <w:rPr>
          <w:sz w:val="24"/>
          <w:szCs w:val="24"/>
        </w:rPr>
        <w:t xml:space="preserve"> for one of the designated units. </w:t>
      </w:r>
    </w:p>
    <w:p w14:paraId="77E0BF18" w14:textId="1F5C4FEF" w:rsidR="00B04643" w:rsidRDefault="00B04643">
      <w:pPr>
        <w:rPr>
          <w:sz w:val="24"/>
          <w:szCs w:val="24"/>
        </w:rPr>
      </w:pPr>
      <w:r w:rsidRPr="00C2311F">
        <w:rPr>
          <w:sz w:val="24"/>
          <w:szCs w:val="24"/>
        </w:rPr>
        <w:t>1280 – Miscellaneous – Used for any payment reason not referenced in any of the other wage types within this appendix.</w:t>
      </w:r>
    </w:p>
    <w:p w14:paraId="500982BF" w14:textId="4377BCD5" w:rsidR="00DB5BBA" w:rsidRPr="00C2311F" w:rsidRDefault="00DB5BBA">
      <w:pPr>
        <w:rPr>
          <w:sz w:val="24"/>
          <w:szCs w:val="24"/>
        </w:rPr>
      </w:pPr>
      <w:r w:rsidRPr="00C2311F">
        <w:rPr>
          <w:sz w:val="24"/>
          <w:szCs w:val="24"/>
        </w:rPr>
        <w:t xml:space="preserve">1282 – </w:t>
      </w:r>
      <w:proofErr w:type="spellStart"/>
      <w:r w:rsidRPr="00C2311F">
        <w:rPr>
          <w:sz w:val="24"/>
          <w:szCs w:val="24"/>
        </w:rPr>
        <w:t>Misc</w:t>
      </w:r>
      <w:proofErr w:type="spellEnd"/>
      <w:r w:rsidRPr="00C2311F">
        <w:rPr>
          <w:sz w:val="24"/>
          <w:szCs w:val="24"/>
        </w:rPr>
        <w:t>-Special Agreement -Used for payment required by a Special Agreement, facilitated by the Office of Employee Relation.</w:t>
      </w:r>
    </w:p>
    <w:p w14:paraId="0534B2A7" w14:textId="67890F25" w:rsidR="00DB5BBA" w:rsidRPr="00C2311F" w:rsidRDefault="00DB5BBA">
      <w:pPr>
        <w:rPr>
          <w:sz w:val="24"/>
          <w:szCs w:val="24"/>
        </w:rPr>
      </w:pPr>
      <w:r w:rsidRPr="00C2311F">
        <w:rPr>
          <w:sz w:val="24"/>
          <w:szCs w:val="24"/>
        </w:rPr>
        <w:t xml:space="preserve">1283 – </w:t>
      </w:r>
      <w:proofErr w:type="spellStart"/>
      <w:r w:rsidRPr="00C2311F">
        <w:rPr>
          <w:sz w:val="24"/>
          <w:szCs w:val="24"/>
        </w:rPr>
        <w:t>Mis</w:t>
      </w:r>
      <w:r w:rsidR="00D73DAC" w:rsidRPr="00C2311F">
        <w:rPr>
          <w:sz w:val="24"/>
          <w:szCs w:val="24"/>
        </w:rPr>
        <w:t>c</w:t>
      </w:r>
      <w:proofErr w:type="spellEnd"/>
      <w:r w:rsidRPr="00C2311F">
        <w:rPr>
          <w:sz w:val="24"/>
          <w:szCs w:val="24"/>
        </w:rPr>
        <w:t xml:space="preserve">-Signing Bonus – Used for paying signing bonuses </w:t>
      </w:r>
      <w:r w:rsidR="00D73DAC" w:rsidRPr="00C2311F">
        <w:rPr>
          <w:sz w:val="24"/>
          <w:szCs w:val="24"/>
        </w:rPr>
        <w:t>according to offer letter requirements.</w:t>
      </w:r>
    </w:p>
    <w:p w14:paraId="21CC2F53" w14:textId="6D09868D" w:rsidR="00DB5BBA" w:rsidRPr="00C2311F" w:rsidRDefault="00DB5BBA">
      <w:pPr>
        <w:rPr>
          <w:sz w:val="24"/>
          <w:szCs w:val="24"/>
        </w:rPr>
      </w:pPr>
      <w:r w:rsidRPr="00C2311F">
        <w:rPr>
          <w:sz w:val="24"/>
          <w:szCs w:val="24"/>
        </w:rPr>
        <w:t>1284 – Retention/External Market – Used for retaining an employee or compensating due to market conditions in similar</w:t>
      </w:r>
      <w:r w:rsidR="00D73DAC" w:rsidRPr="00C2311F">
        <w:rPr>
          <w:sz w:val="24"/>
          <w:szCs w:val="24"/>
        </w:rPr>
        <w:t>ly related</w:t>
      </w:r>
      <w:r w:rsidRPr="00C2311F">
        <w:rPr>
          <w:sz w:val="24"/>
          <w:szCs w:val="24"/>
        </w:rPr>
        <w:t xml:space="preserve"> work.</w:t>
      </w:r>
    </w:p>
    <w:p w14:paraId="6ED39DB6" w14:textId="4DB96CCB" w:rsidR="00DB5BBA" w:rsidRDefault="00DB5BBA">
      <w:pPr>
        <w:rPr>
          <w:sz w:val="24"/>
          <w:szCs w:val="24"/>
        </w:rPr>
      </w:pPr>
      <w:r w:rsidRPr="00C2311F">
        <w:rPr>
          <w:sz w:val="24"/>
          <w:szCs w:val="24"/>
        </w:rPr>
        <w:t>1285 – Internal Equity</w:t>
      </w:r>
      <w:r w:rsidR="00FF1B0A">
        <w:rPr>
          <w:sz w:val="24"/>
          <w:szCs w:val="24"/>
        </w:rPr>
        <w:t xml:space="preserve"> - </w:t>
      </w:r>
      <w:r w:rsidRPr="00C2311F">
        <w:rPr>
          <w:sz w:val="24"/>
          <w:szCs w:val="24"/>
        </w:rPr>
        <w:t xml:space="preserve">Used for paying an employee due to pay inequities between their position and similar positions within the </w:t>
      </w:r>
      <w:r w:rsidR="00FF1B0A">
        <w:rPr>
          <w:sz w:val="24"/>
          <w:szCs w:val="24"/>
        </w:rPr>
        <w:t>U</w:t>
      </w:r>
      <w:r w:rsidRPr="00C2311F">
        <w:rPr>
          <w:sz w:val="24"/>
          <w:szCs w:val="24"/>
        </w:rPr>
        <w:t>niversity.</w:t>
      </w:r>
    </w:p>
    <w:p w14:paraId="0ED238B9" w14:textId="42340E5B" w:rsidR="00B04643" w:rsidRPr="00C2311F" w:rsidRDefault="00B04643">
      <w:pPr>
        <w:rPr>
          <w:sz w:val="24"/>
          <w:szCs w:val="24"/>
        </w:rPr>
      </w:pPr>
      <w:r w:rsidRPr="00C2311F">
        <w:rPr>
          <w:sz w:val="24"/>
          <w:szCs w:val="24"/>
        </w:rPr>
        <w:t>1286 – Acting/Interim Pay –</w:t>
      </w:r>
      <w:r w:rsidR="00D428F9">
        <w:rPr>
          <w:sz w:val="24"/>
          <w:szCs w:val="24"/>
        </w:rPr>
        <w:t>U</w:t>
      </w:r>
      <w:r w:rsidRPr="00C2311F">
        <w:rPr>
          <w:sz w:val="24"/>
          <w:szCs w:val="24"/>
        </w:rPr>
        <w:t>sed for work performed by an APA employee to completely cover work of a position which is either vacant or where the incumbent is on leave.  The work must be performed for 15 days minimum within a pay period to use this wage type.</w:t>
      </w:r>
    </w:p>
    <w:p w14:paraId="5547B41D" w14:textId="22B9B887" w:rsidR="00D73DAC" w:rsidRDefault="00D73DAC">
      <w:pPr>
        <w:rPr>
          <w:sz w:val="24"/>
          <w:szCs w:val="24"/>
        </w:rPr>
      </w:pPr>
      <w:r w:rsidRPr="00C2311F">
        <w:rPr>
          <w:sz w:val="24"/>
          <w:szCs w:val="24"/>
        </w:rPr>
        <w:t>1330 – Merit – Used to recognize meritorious performance by an employee.</w:t>
      </w:r>
    </w:p>
    <w:p w14:paraId="06AF38F8" w14:textId="3AE49053" w:rsidR="00722695" w:rsidRDefault="00722695" w:rsidP="00722695">
      <w:pPr>
        <w:rPr>
          <w:sz w:val="24"/>
          <w:szCs w:val="24"/>
        </w:rPr>
      </w:pPr>
      <w:r w:rsidRPr="00C2311F">
        <w:rPr>
          <w:sz w:val="24"/>
          <w:szCs w:val="24"/>
        </w:rPr>
        <w:t>1405 – Special Project Pay –</w:t>
      </w:r>
      <w:r w:rsidR="00D428F9">
        <w:rPr>
          <w:sz w:val="24"/>
          <w:szCs w:val="24"/>
        </w:rPr>
        <w:t>U</w:t>
      </w:r>
      <w:r w:rsidRPr="00C2311F">
        <w:rPr>
          <w:sz w:val="24"/>
          <w:szCs w:val="24"/>
        </w:rPr>
        <w:t>sed for work performed by an employee in addition to their regular assignment, either in their primary department or another department.  It is used by salaried employees, or those who are CTU and 100% employed.</w:t>
      </w:r>
    </w:p>
    <w:p w14:paraId="49E8E53D" w14:textId="5B27B956" w:rsidR="00722695" w:rsidRDefault="00D428F9">
      <w:pPr>
        <w:rPr>
          <w:sz w:val="24"/>
          <w:szCs w:val="24"/>
        </w:rPr>
      </w:pPr>
      <w:r>
        <w:rPr>
          <w:sz w:val="24"/>
          <w:szCs w:val="24"/>
        </w:rPr>
        <w:t xml:space="preserve">1490 – Faculty Overload </w:t>
      </w:r>
      <w:r w:rsidR="000B0D47">
        <w:rPr>
          <w:sz w:val="24"/>
          <w:szCs w:val="24"/>
        </w:rPr>
        <w:t>–</w:t>
      </w:r>
      <w:r>
        <w:rPr>
          <w:sz w:val="24"/>
          <w:szCs w:val="24"/>
        </w:rPr>
        <w:t xml:space="preserve"> </w:t>
      </w:r>
      <w:r w:rsidR="00F07A76">
        <w:rPr>
          <w:sz w:val="24"/>
          <w:szCs w:val="24"/>
        </w:rPr>
        <w:t>Used to pay full-time f</w:t>
      </w:r>
      <w:r w:rsidR="00F07A76" w:rsidRPr="00F07A76">
        <w:rPr>
          <w:sz w:val="24"/>
          <w:szCs w:val="24"/>
        </w:rPr>
        <w:t>aculty</w:t>
      </w:r>
      <w:r w:rsidR="000655B1">
        <w:rPr>
          <w:sz w:val="24"/>
          <w:szCs w:val="24"/>
        </w:rPr>
        <w:t xml:space="preserve">, </w:t>
      </w:r>
      <w:r w:rsidR="00F07A76" w:rsidRPr="00F07A76">
        <w:rPr>
          <w:sz w:val="24"/>
          <w:szCs w:val="24"/>
        </w:rPr>
        <w:t>academic staff</w:t>
      </w:r>
      <w:r w:rsidR="000655B1">
        <w:rPr>
          <w:sz w:val="24"/>
          <w:szCs w:val="24"/>
        </w:rPr>
        <w:t>, and executive managers for overload assignments.</w:t>
      </w:r>
      <w:r w:rsidR="00F07A76" w:rsidRPr="00F07A76">
        <w:rPr>
          <w:sz w:val="24"/>
          <w:szCs w:val="24"/>
        </w:rPr>
        <w:t xml:space="preserve"> </w:t>
      </w:r>
    </w:p>
    <w:p w14:paraId="310A0FE7" w14:textId="1DFDF9CD" w:rsidR="005E54D5" w:rsidRDefault="005E54D5">
      <w:pPr>
        <w:rPr>
          <w:sz w:val="24"/>
          <w:szCs w:val="24"/>
        </w:rPr>
      </w:pPr>
      <w:r>
        <w:rPr>
          <w:sz w:val="24"/>
          <w:szCs w:val="24"/>
        </w:rPr>
        <w:t xml:space="preserve">1495 </w:t>
      </w:r>
      <w:r w:rsidR="00D06EEF">
        <w:rPr>
          <w:sz w:val="24"/>
          <w:szCs w:val="24"/>
        </w:rPr>
        <w:t>–</w:t>
      </w:r>
      <w:r>
        <w:rPr>
          <w:sz w:val="24"/>
          <w:szCs w:val="24"/>
        </w:rPr>
        <w:t xml:space="preserve"> </w:t>
      </w:r>
      <w:r w:rsidR="00D06EEF">
        <w:rPr>
          <w:sz w:val="24"/>
          <w:szCs w:val="24"/>
        </w:rPr>
        <w:t xml:space="preserve">Faculty Overload-UNTF – Used </w:t>
      </w:r>
      <w:r w:rsidR="00570A11">
        <w:rPr>
          <w:sz w:val="24"/>
          <w:szCs w:val="24"/>
        </w:rPr>
        <w:t>to pay full-time f</w:t>
      </w:r>
      <w:r w:rsidR="00570A11" w:rsidRPr="00F07A76">
        <w:rPr>
          <w:sz w:val="24"/>
          <w:szCs w:val="24"/>
        </w:rPr>
        <w:t>aculty</w:t>
      </w:r>
      <w:r w:rsidR="00570A11">
        <w:rPr>
          <w:sz w:val="24"/>
          <w:szCs w:val="24"/>
        </w:rPr>
        <w:t xml:space="preserve">, </w:t>
      </w:r>
      <w:r w:rsidR="00570A11" w:rsidRPr="00F07A76">
        <w:rPr>
          <w:sz w:val="24"/>
          <w:szCs w:val="24"/>
        </w:rPr>
        <w:t>academic staff</w:t>
      </w:r>
      <w:r w:rsidR="00570A11">
        <w:rPr>
          <w:sz w:val="24"/>
          <w:szCs w:val="24"/>
        </w:rPr>
        <w:t>, and executive managers for overload assignments.</w:t>
      </w:r>
      <w:r w:rsidR="00570A11" w:rsidRPr="00F07A76">
        <w:rPr>
          <w:sz w:val="24"/>
          <w:szCs w:val="24"/>
        </w:rPr>
        <w:t xml:space="preserve"> </w:t>
      </w:r>
    </w:p>
    <w:p w14:paraId="43F96D43" w14:textId="77777777" w:rsidR="007A284D" w:rsidRDefault="007A284D" w:rsidP="007A284D">
      <w:pPr>
        <w:rPr>
          <w:sz w:val="24"/>
          <w:szCs w:val="24"/>
        </w:rPr>
      </w:pPr>
      <w:r>
        <w:rPr>
          <w:sz w:val="24"/>
          <w:szCs w:val="24"/>
        </w:rPr>
        <w:t>1560 – Compensatory Time Payoff – Used for paying out in a lump-sum, the employee’s accumulated compensatory time balance per department.</w:t>
      </w:r>
    </w:p>
    <w:p w14:paraId="57A10860" w14:textId="77777777" w:rsidR="00006017" w:rsidRDefault="00006017" w:rsidP="00006017">
      <w:pPr>
        <w:rPr>
          <w:sz w:val="24"/>
          <w:szCs w:val="24"/>
        </w:rPr>
      </w:pPr>
      <w:r>
        <w:rPr>
          <w:sz w:val="24"/>
          <w:szCs w:val="24"/>
        </w:rPr>
        <w:lastRenderedPageBreak/>
        <w:t>1570 – NSCL Interruption Compensation – Used for paying non-scheduled working hours due to an emergency or operational need Per the guidelines in the Continuing Appointment System – FRIB.</w:t>
      </w:r>
    </w:p>
    <w:p w14:paraId="2CB4AF0E" w14:textId="66489044" w:rsidR="0004073B" w:rsidRDefault="0004073B">
      <w:pPr>
        <w:rPr>
          <w:sz w:val="24"/>
          <w:szCs w:val="24"/>
        </w:rPr>
      </w:pPr>
      <w:r>
        <w:rPr>
          <w:sz w:val="24"/>
          <w:szCs w:val="24"/>
        </w:rPr>
        <w:t>1575 – Internet Conn. Allow – Used f</w:t>
      </w:r>
      <w:r w:rsidR="005E0B37">
        <w:rPr>
          <w:sz w:val="24"/>
          <w:szCs w:val="24"/>
        </w:rPr>
        <w:t>or paying department approved internet connectivity allowances.</w:t>
      </w:r>
    </w:p>
    <w:p w14:paraId="08D35C92" w14:textId="58C09D32" w:rsidR="005E0B37" w:rsidRPr="00C2311F" w:rsidRDefault="005E0B37">
      <w:pPr>
        <w:rPr>
          <w:sz w:val="24"/>
          <w:szCs w:val="24"/>
        </w:rPr>
      </w:pPr>
      <w:r>
        <w:rPr>
          <w:sz w:val="24"/>
          <w:szCs w:val="24"/>
        </w:rPr>
        <w:t>1580 – Cell Phone Allowance – Used for paying department approved cell phone allowances.</w:t>
      </w:r>
    </w:p>
    <w:p w14:paraId="5CB8F7AB" w14:textId="77777777" w:rsidR="00A008BA" w:rsidRDefault="00A008BA" w:rsidP="00A008BA">
      <w:pPr>
        <w:rPr>
          <w:sz w:val="24"/>
          <w:szCs w:val="24"/>
        </w:rPr>
      </w:pPr>
      <w:r>
        <w:rPr>
          <w:sz w:val="24"/>
          <w:szCs w:val="24"/>
        </w:rPr>
        <w:t xml:space="preserve">7005 – Tickets (Non-Cash Taxable Fringe) </w:t>
      </w:r>
    </w:p>
    <w:p w14:paraId="3F025016" w14:textId="77777777" w:rsidR="00A008BA" w:rsidRDefault="00A008BA" w:rsidP="00A008BA">
      <w:pPr>
        <w:rPr>
          <w:sz w:val="24"/>
          <w:szCs w:val="24"/>
        </w:rPr>
      </w:pPr>
      <w:r>
        <w:rPr>
          <w:sz w:val="24"/>
          <w:szCs w:val="24"/>
        </w:rPr>
        <w:t>7010 – Apparel (Non-Cash Taxable Fringe)</w:t>
      </w:r>
    </w:p>
    <w:p w14:paraId="56C72439" w14:textId="77777777" w:rsidR="00A008BA" w:rsidRPr="00C2311F" w:rsidRDefault="00A008BA" w:rsidP="00A008BA">
      <w:pPr>
        <w:rPr>
          <w:sz w:val="24"/>
          <w:szCs w:val="24"/>
        </w:rPr>
      </w:pPr>
      <w:r>
        <w:rPr>
          <w:sz w:val="24"/>
          <w:szCs w:val="24"/>
        </w:rPr>
        <w:t>7045 – Non-Cash Taxable Fringe – Does not generate pay, taxation only (Example: Gift Cards).</w:t>
      </w:r>
    </w:p>
    <w:p w14:paraId="5DD624C8" w14:textId="4538F3AC" w:rsidR="00CA3EB6" w:rsidRDefault="00CA3EB6">
      <w:pPr>
        <w:rPr>
          <w:sz w:val="24"/>
          <w:szCs w:val="24"/>
        </w:rPr>
      </w:pPr>
    </w:p>
    <w:sectPr w:rsidR="00CA3EB6" w:rsidSect="00446B9B">
      <w:footerReference w:type="default" r:id="rId7"/>
      <w:pgSz w:w="12240" w:h="15840"/>
      <w:pgMar w:top="99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B6B7F" w14:textId="77777777" w:rsidR="00BE2A4D" w:rsidRDefault="00BE2A4D" w:rsidP="00705A0B">
      <w:pPr>
        <w:spacing w:after="0" w:line="240" w:lineRule="auto"/>
      </w:pPr>
      <w:r>
        <w:separator/>
      </w:r>
    </w:p>
  </w:endnote>
  <w:endnote w:type="continuationSeparator" w:id="0">
    <w:p w14:paraId="763D8936" w14:textId="77777777" w:rsidR="00BE2A4D" w:rsidRDefault="00BE2A4D" w:rsidP="0070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6715"/>
      <w:docPartObj>
        <w:docPartGallery w:val="Page Numbers (Bottom of Page)"/>
        <w:docPartUnique/>
      </w:docPartObj>
    </w:sdtPr>
    <w:sdtEndPr>
      <w:rPr>
        <w:color w:val="7F7F7F" w:themeColor="background1" w:themeShade="7F"/>
        <w:spacing w:val="60"/>
      </w:rPr>
    </w:sdtEndPr>
    <w:sdtContent>
      <w:p w14:paraId="2B63B05B" w14:textId="5CD8C050" w:rsidR="001A4273" w:rsidRDefault="001A427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8C386F" w14:textId="22B60420" w:rsidR="00705A0B" w:rsidRDefault="00705A0B" w:rsidP="00555F24">
    <w:pPr>
      <w:pStyle w:val="Footer"/>
      <w:tabs>
        <w:tab w:val="clear" w:pos="4680"/>
        <w:tab w:val="clear" w:pos="9360"/>
        <w:tab w:val="left" w:pos="18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B147" w14:textId="77777777" w:rsidR="00BE2A4D" w:rsidRDefault="00BE2A4D" w:rsidP="00705A0B">
      <w:pPr>
        <w:spacing w:after="0" w:line="240" w:lineRule="auto"/>
      </w:pPr>
      <w:r>
        <w:separator/>
      </w:r>
    </w:p>
  </w:footnote>
  <w:footnote w:type="continuationSeparator" w:id="0">
    <w:p w14:paraId="6B21D91A" w14:textId="77777777" w:rsidR="00BE2A4D" w:rsidRDefault="00BE2A4D" w:rsidP="0070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784E"/>
    <w:multiLevelType w:val="hybridMultilevel"/>
    <w:tmpl w:val="F2F2E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E4D57"/>
    <w:multiLevelType w:val="hybridMultilevel"/>
    <w:tmpl w:val="2D44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E739B"/>
    <w:multiLevelType w:val="hybridMultilevel"/>
    <w:tmpl w:val="A038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143657">
    <w:abstractNumId w:val="0"/>
  </w:num>
  <w:num w:numId="2" w16cid:durableId="52044461">
    <w:abstractNumId w:val="1"/>
  </w:num>
  <w:num w:numId="3" w16cid:durableId="206459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AE"/>
    <w:rsid w:val="00000FB9"/>
    <w:rsid w:val="00006017"/>
    <w:rsid w:val="00030640"/>
    <w:rsid w:val="0004073B"/>
    <w:rsid w:val="000655B1"/>
    <w:rsid w:val="00067F0A"/>
    <w:rsid w:val="00073C08"/>
    <w:rsid w:val="000B0D47"/>
    <w:rsid w:val="000D3DF4"/>
    <w:rsid w:val="001243DA"/>
    <w:rsid w:val="00130C85"/>
    <w:rsid w:val="00164641"/>
    <w:rsid w:val="001840D3"/>
    <w:rsid w:val="001A4273"/>
    <w:rsid w:val="001B2B8D"/>
    <w:rsid w:val="001B4DFE"/>
    <w:rsid w:val="001D14BD"/>
    <w:rsid w:val="001F426F"/>
    <w:rsid w:val="00203636"/>
    <w:rsid w:val="0021098A"/>
    <w:rsid w:val="00217DDC"/>
    <w:rsid w:val="0024397D"/>
    <w:rsid w:val="002E047C"/>
    <w:rsid w:val="002F10B5"/>
    <w:rsid w:val="00300169"/>
    <w:rsid w:val="003166DA"/>
    <w:rsid w:val="00325B28"/>
    <w:rsid w:val="00340969"/>
    <w:rsid w:val="00350B13"/>
    <w:rsid w:val="003604D8"/>
    <w:rsid w:val="00366D47"/>
    <w:rsid w:val="00371A55"/>
    <w:rsid w:val="0037503D"/>
    <w:rsid w:val="003B3CDA"/>
    <w:rsid w:val="003B5B6F"/>
    <w:rsid w:val="003C1596"/>
    <w:rsid w:val="00401565"/>
    <w:rsid w:val="004218E5"/>
    <w:rsid w:val="0042402A"/>
    <w:rsid w:val="00436271"/>
    <w:rsid w:val="00446B9B"/>
    <w:rsid w:val="00450E33"/>
    <w:rsid w:val="004555A3"/>
    <w:rsid w:val="00474EC6"/>
    <w:rsid w:val="004776A6"/>
    <w:rsid w:val="004802E3"/>
    <w:rsid w:val="004A41BA"/>
    <w:rsid w:val="004A63A9"/>
    <w:rsid w:val="004C0ADA"/>
    <w:rsid w:val="004F313E"/>
    <w:rsid w:val="004F399D"/>
    <w:rsid w:val="004F7C2A"/>
    <w:rsid w:val="00500473"/>
    <w:rsid w:val="005105AA"/>
    <w:rsid w:val="005246C1"/>
    <w:rsid w:val="00555F24"/>
    <w:rsid w:val="00570A11"/>
    <w:rsid w:val="005C2F05"/>
    <w:rsid w:val="005E0B37"/>
    <w:rsid w:val="005E2AAE"/>
    <w:rsid w:val="005E3DA4"/>
    <w:rsid w:val="005E54D5"/>
    <w:rsid w:val="005F550D"/>
    <w:rsid w:val="006173E1"/>
    <w:rsid w:val="00625F5B"/>
    <w:rsid w:val="006335BF"/>
    <w:rsid w:val="00676B80"/>
    <w:rsid w:val="006A3CDB"/>
    <w:rsid w:val="006A5743"/>
    <w:rsid w:val="006B3C05"/>
    <w:rsid w:val="006C5B39"/>
    <w:rsid w:val="006E107A"/>
    <w:rsid w:val="00702C8D"/>
    <w:rsid w:val="00705A0B"/>
    <w:rsid w:val="00710345"/>
    <w:rsid w:val="00722695"/>
    <w:rsid w:val="007321D4"/>
    <w:rsid w:val="00745A73"/>
    <w:rsid w:val="007555EA"/>
    <w:rsid w:val="007646E8"/>
    <w:rsid w:val="007A284D"/>
    <w:rsid w:val="007A331D"/>
    <w:rsid w:val="007A465D"/>
    <w:rsid w:val="007B268C"/>
    <w:rsid w:val="007E0EB1"/>
    <w:rsid w:val="007E2BD1"/>
    <w:rsid w:val="008268BD"/>
    <w:rsid w:val="0083236C"/>
    <w:rsid w:val="0085198F"/>
    <w:rsid w:val="008563C6"/>
    <w:rsid w:val="008859B0"/>
    <w:rsid w:val="008A309F"/>
    <w:rsid w:val="008A4EE1"/>
    <w:rsid w:val="008B3260"/>
    <w:rsid w:val="008F7ACA"/>
    <w:rsid w:val="009070A8"/>
    <w:rsid w:val="00910D80"/>
    <w:rsid w:val="00910EC3"/>
    <w:rsid w:val="00947FB7"/>
    <w:rsid w:val="0095581D"/>
    <w:rsid w:val="00962307"/>
    <w:rsid w:val="00965C74"/>
    <w:rsid w:val="00966835"/>
    <w:rsid w:val="00987486"/>
    <w:rsid w:val="009E2555"/>
    <w:rsid w:val="00A008BA"/>
    <w:rsid w:val="00A11D05"/>
    <w:rsid w:val="00A31F42"/>
    <w:rsid w:val="00A34ADC"/>
    <w:rsid w:val="00A36F04"/>
    <w:rsid w:val="00A45011"/>
    <w:rsid w:val="00A975A6"/>
    <w:rsid w:val="00A97B11"/>
    <w:rsid w:val="00AA3914"/>
    <w:rsid w:val="00AB2966"/>
    <w:rsid w:val="00AD5133"/>
    <w:rsid w:val="00AF6EC6"/>
    <w:rsid w:val="00B04643"/>
    <w:rsid w:val="00B04D59"/>
    <w:rsid w:val="00B1073E"/>
    <w:rsid w:val="00B35A49"/>
    <w:rsid w:val="00B6759F"/>
    <w:rsid w:val="00B816B6"/>
    <w:rsid w:val="00BA7C2C"/>
    <w:rsid w:val="00BE2A4D"/>
    <w:rsid w:val="00C2311F"/>
    <w:rsid w:val="00C3365B"/>
    <w:rsid w:val="00C4697E"/>
    <w:rsid w:val="00C56039"/>
    <w:rsid w:val="00C5703F"/>
    <w:rsid w:val="00C57BF3"/>
    <w:rsid w:val="00C61E38"/>
    <w:rsid w:val="00CA0749"/>
    <w:rsid w:val="00CA3EB6"/>
    <w:rsid w:val="00CC62A1"/>
    <w:rsid w:val="00CE5CEC"/>
    <w:rsid w:val="00CF2CD7"/>
    <w:rsid w:val="00CF4D81"/>
    <w:rsid w:val="00CF6B41"/>
    <w:rsid w:val="00CF7336"/>
    <w:rsid w:val="00D06EEF"/>
    <w:rsid w:val="00D428F9"/>
    <w:rsid w:val="00D43EC8"/>
    <w:rsid w:val="00D50E99"/>
    <w:rsid w:val="00D73DAC"/>
    <w:rsid w:val="00D74FB2"/>
    <w:rsid w:val="00D7681C"/>
    <w:rsid w:val="00DA7F9E"/>
    <w:rsid w:val="00DB018E"/>
    <w:rsid w:val="00DB5BBA"/>
    <w:rsid w:val="00DD5E14"/>
    <w:rsid w:val="00E15268"/>
    <w:rsid w:val="00E203C5"/>
    <w:rsid w:val="00E31EE4"/>
    <w:rsid w:val="00E379D5"/>
    <w:rsid w:val="00E43B28"/>
    <w:rsid w:val="00E56E86"/>
    <w:rsid w:val="00E56EC3"/>
    <w:rsid w:val="00E56F50"/>
    <w:rsid w:val="00E7074F"/>
    <w:rsid w:val="00E74B7B"/>
    <w:rsid w:val="00E75FFA"/>
    <w:rsid w:val="00E97190"/>
    <w:rsid w:val="00EA54BF"/>
    <w:rsid w:val="00EB3413"/>
    <w:rsid w:val="00EC64C9"/>
    <w:rsid w:val="00EC79D2"/>
    <w:rsid w:val="00ED5A81"/>
    <w:rsid w:val="00ED7AE0"/>
    <w:rsid w:val="00EE05AB"/>
    <w:rsid w:val="00EF223F"/>
    <w:rsid w:val="00F0414C"/>
    <w:rsid w:val="00F07A76"/>
    <w:rsid w:val="00F225C4"/>
    <w:rsid w:val="00F37C99"/>
    <w:rsid w:val="00F560F9"/>
    <w:rsid w:val="00F67267"/>
    <w:rsid w:val="00F81CC1"/>
    <w:rsid w:val="00F90A95"/>
    <w:rsid w:val="00F92B5D"/>
    <w:rsid w:val="00F945B2"/>
    <w:rsid w:val="00FB043F"/>
    <w:rsid w:val="00FF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23F8A6"/>
  <w15:chartTrackingRefBased/>
  <w15:docId w15:val="{C83EE57E-1C3F-4434-8031-DFCE1048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4C9"/>
    <w:pPr>
      <w:keepNext/>
      <w:outlineLvl w:val="0"/>
    </w:pPr>
    <w:rPr>
      <w:b/>
      <w:bCs/>
      <w:sz w:val="28"/>
      <w:szCs w:val="28"/>
      <w:u w:val="single"/>
    </w:rPr>
  </w:style>
  <w:style w:type="paragraph" w:styleId="Heading2">
    <w:name w:val="heading 2"/>
    <w:basedOn w:val="Normal"/>
    <w:next w:val="Normal"/>
    <w:link w:val="Heading2Char"/>
    <w:uiPriority w:val="9"/>
    <w:unhideWhenUsed/>
    <w:qFormat/>
    <w:rsid w:val="00F81CC1"/>
    <w:pPr>
      <w:keepNext/>
      <w:ind w:right="360"/>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CDA"/>
    <w:pPr>
      <w:ind w:left="720"/>
      <w:contextualSpacing/>
    </w:pPr>
  </w:style>
  <w:style w:type="character" w:styleId="Hyperlink">
    <w:name w:val="Hyperlink"/>
    <w:basedOn w:val="DefaultParagraphFont"/>
    <w:uiPriority w:val="99"/>
    <w:unhideWhenUsed/>
    <w:rsid w:val="008B3260"/>
    <w:rPr>
      <w:color w:val="0563C1" w:themeColor="hyperlink"/>
      <w:u w:val="single"/>
    </w:rPr>
  </w:style>
  <w:style w:type="character" w:styleId="UnresolvedMention">
    <w:name w:val="Unresolved Mention"/>
    <w:basedOn w:val="DefaultParagraphFont"/>
    <w:uiPriority w:val="99"/>
    <w:semiHidden/>
    <w:unhideWhenUsed/>
    <w:rsid w:val="008B3260"/>
    <w:rPr>
      <w:color w:val="605E5C"/>
      <w:shd w:val="clear" w:color="auto" w:fill="E1DFDD"/>
    </w:rPr>
  </w:style>
  <w:style w:type="character" w:styleId="FollowedHyperlink">
    <w:name w:val="FollowedHyperlink"/>
    <w:basedOn w:val="DefaultParagraphFont"/>
    <w:uiPriority w:val="99"/>
    <w:semiHidden/>
    <w:unhideWhenUsed/>
    <w:rsid w:val="008B3260"/>
    <w:rPr>
      <w:color w:val="954F72" w:themeColor="followedHyperlink"/>
      <w:u w:val="single"/>
    </w:rPr>
  </w:style>
  <w:style w:type="paragraph" w:styleId="Header">
    <w:name w:val="header"/>
    <w:basedOn w:val="Normal"/>
    <w:link w:val="HeaderChar"/>
    <w:uiPriority w:val="99"/>
    <w:unhideWhenUsed/>
    <w:rsid w:val="0070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A0B"/>
  </w:style>
  <w:style w:type="paragraph" w:styleId="Footer">
    <w:name w:val="footer"/>
    <w:basedOn w:val="Normal"/>
    <w:link w:val="FooterChar"/>
    <w:uiPriority w:val="99"/>
    <w:unhideWhenUsed/>
    <w:rsid w:val="0070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A0B"/>
  </w:style>
  <w:style w:type="paragraph" w:styleId="BodyText">
    <w:name w:val="Body Text"/>
    <w:basedOn w:val="Normal"/>
    <w:link w:val="BodyTextChar"/>
    <w:uiPriority w:val="99"/>
    <w:unhideWhenUsed/>
    <w:rsid w:val="00DA7F9E"/>
    <w:rPr>
      <w:sz w:val="24"/>
      <w:szCs w:val="24"/>
    </w:rPr>
  </w:style>
  <w:style w:type="character" w:customStyle="1" w:styleId="BodyTextChar">
    <w:name w:val="Body Text Char"/>
    <w:basedOn w:val="DefaultParagraphFont"/>
    <w:link w:val="BodyText"/>
    <w:uiPriority w:val="99"/>
    <w:rsid w:val="00DA7F9E"/>
    <w:rPr>
      <w:sz w:val="24"/>
      <w:szCs w:val="24"/>
    </w:rPr>
  </w:style>
  <w:style w:type="character" w:customStyle="1" w:styleId="Heading1Char">
    <w:name w:val="Heading 1 Char"/>
    <w:basedOn w:val="DefaultParagraphFont"/>
    <w:link w:val="Heading1"/>
    <w:uiPriority w:val="9"/>
    <w:rsid w:val="00EC64C9"/>
    <w:rPr>
      <w:b/>
      <w:bCs/>
      <w:sz w:val="28"/>
      <w:szCs w:val="28"/>
      <w:u w:val="single"/>
    </w:rPr>
  </w:style>
  <w:style w:type="character" w:customStyle="1" w:styleId="Heading2Char">
    <w:name w:val="Heading 2 Char"/>
    <w:basedOn w:val="DefaultParagraphFont"/>
    <w:link w:val="Heading2"/>
    <w:uiPriority w:val="9"/>
    <w:rsid w:val="00F81CC1"/>
    <w:rPr>
      <w:b/>
      <w:bCs/>
      <w:sz w:val="36"/>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7790">
      <w:bodyDiv w:val="1"/>
      <w:marLeft w:val="0"/>
      <w:marRight w:val="0"/>
      <w:marTop w:val="0"/>
      <w:marBottom w:val="0"/>
      <w:divBdr>
        <w:top w:val="none" w:sz="0" w:space="0" w:color="auto"/>
        <w:left w:val="none" w:sz="0" w:space="0" w:color="auto"/>
        <w:bottom w:val="none" w:sz="0" w:space="0" w:color="auto"/>
        <w:right w:val="none" w:sz="0" w:space="0" w:color="auto"/>
      </w:divBdr>
    </w:div>
    <w:div w:id="1275164287">
      <w:bodyDiv w:val="1"/>
      <w:marLeft w:val="0"/>
      <w:marRight w:val="0"/>
      <w:marTop w:val="0"/>
      <w:marBottom w:val="0"/>
      <w:divBdr>
        <w:top w:val="none" w:sz="0" w:space="0" w:color="auto"/>
        <w:left w:val="none" w:sz="0" w:space="0" w:color="auto"/>
        <w:bottom w:val="none" w:sz="0" w:space="0" w:color="auto"/>
        <w:right w:val="none" w:sz="0" w:space="0" w:color="auto"/>
      </w:divBdr>
    </w:div>
    <w:div w:id="1319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Yauch, Rebecca</dc:creator>
  <cp:keywords/>
  <dc:description/>
  <cp:lastModifiedBy>Dilday, Michelle</cp:lastModifiedBy>
  <cp:revision>5</cp:revision>
  <dcterms:created xsi:type="dcterms:W3CDTF">2024-05-21T14:01:00Z</dcterms:created>
  <dcterms:modified xsi:type="dcterms:W3CDTF">2024-05-21T14:48:00Z</dcterms:modified>
</cp:coreProperties>
</file>